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F30524" w:rsidRPr="00F303BB" w14:paraId="4D95FD18" w14:textId="77777777" w:rsidTr="00407B3B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ADBA" w14:textId="3C8E8D10" w:rsidR="00F30524" w:rsidRPr="008073FA" w:rsidRDefault="00F30524" w:rsidP="00F30524">
            <w:pPr>
              <w:spacing w:after="0" w:line="257" w:lineRule="auto"/>
              <w:rPr>
                <w:rFonts w:eastAsia="Calibri" w:cstheme="minorHAnsi"/>
              </w:rPr>
            </w:pPr>
            <w:r w:rsidRPr="00B367A9">
              <w:rPr>
                <w:rFonts w:cs="Calibri"/>
                <w:b/>
              </w:rPr>
              <w:t>Plano de Trabalho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7FEEF" w14:textId="305D0CD9" w:rsidR="00F30524" w:rsidRPr="003B4E19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4C8CC4D5" w14:textId="77777777" w:rsidTr="00407B3B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934C" w14:textId="56018456" w:rsidR="00F30524" w:rsidRPr="00066231" w:rsidRDefault="00F30524" w:rsidP="00F30524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4E3E4B">
              <w:t>Relatório de análise econômica e financeira (Anexo 3);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F64A" w14:textId="680239F4" w:rsidR="00F30524" w:rsidRPr="003B4E19" w:rsidRDefault="00F30524" w:rsidP="00F30524">
            <w:pPr>
              <w:spacing w:before="240" w:after="0" w:line="360" w:lineRule="auto"/>
              <w:jc w:val="center"/>
            </w:pPr>
            <w:r>
              <w:rPr>
                <w:rFonts w:cs="Calibri"/>
              </w:rPr>
              <w:t>20%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3EB890D8" w14:textId="77777777" w:rsidTr="00407B3B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0A49" w14:textId="28E7293C" w:rsidR="00F30524" w:rsidRPr="00066231" w:rsidRDefault="00F30524" w:rsidP="00F30524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C52F81">
              <w:t>Relatório de estruturação financeira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6F0F5" w14:textId="09AC39F7" w:rsidR="00F30524" w:rsidRPr="003B4E19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25%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7349877D" w14:textId="77777777" w:rsidTr="00407B3B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3E56" w14:textId="232038FB" w:rsidR="00F30524" w:rsidRPr="008073FA" w:rsidRDefault="00F30524" w:rsidP="00F30524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C52F81">
              <w:t>Análise das barreiras ao investimento privado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02B7" w14:textId="1A3629F7" w:rsidR="00F30524" w:rsidRPr="003B4E19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3B3711F1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F97E" w14:textId="077513C5" w:rsidR="00F30524" w:rsidRPr="008073FA" w:rsidRDefault="00F30524" w:rsidP="00F30524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C52F81">
              <w:t>Fluxos financeiros públicos e sustentabilidade dos sistemas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54CB" w14:textId="37467B38" w:rsidR="00F30524" w:rsidRPr="003B4E19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3F48BAB7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9399" w14:textId="65427411" w:rsidR="00F30524" w:rsidRDefault="00F30524" w:rsidP="00F30524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FBC5" w14:textId="4970606C" w:rsidR="00F30524" w:rsidRPr="008073FA" w:rsidRDefault="00F30524" w:rsidP="00F30524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C52F81">
              <w:rPr>
                <w:rFonts w:cs="Calibri"/>
              </w:rPr>
              <w:t>Análise Social e Distributiva</w:t>
            </w:r>
            <w:bookmarkStart w:id="0" w:name="_GoBack"/>
            <w:bookmarkEnd w:id="0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8E54" w14:textId="0691329C" w:rsidR="00F30524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15%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11D95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F30524" w:rsidRPr="00F303BB" w14:paraId="529489FF" w14:textId="77777777" w:rsidTr="00407B3B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D34C" w14:textId="416B99D3" w:rsidR="00F30524" w:rsidRDefault="00F30524" w:rsidP="00F30524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FC21" w14:textId="79A88E21" w:rsidR="00F30524" w:rsidRPr="008073FA" w:rsidRDefault="00F30524" w:rsidP="00F30524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C52F81">
              <w:t>Relatório financeiro consolidado final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3894" w14:textId="01DDDB1F" w:rsidR="00F30524" w:rsidRDefault="00F30524" w:rsidP="00F30524">
            <w:pPr>
              <w:spacing w:before="240" w:after="0" w:line="240" w:lineRule="auto"/>
              <w:jc w:val="center"/>
            </w:pPr>
            <w:r>
              <w:rPr>
                <w:rFonts w:cs="Calibri"/>
              </w:rPr>
              <w:t>10%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9879D" w14:textId="77777777" w:rsidR="00F30524" w:rsidRPr="003B4E19" w:rsidRDefault="00F30524" w:rsidP="00F30524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65D51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0524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45287782-96f6-4d46-b222-c6a35a3678db"/>
    <ds:schemaRef ds:uri="12eb10c7-7c04-413d-98c5-00dad9ac1a93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86B8778-5908-451D-BE73-3FF0CEDD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65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60</cp:revision>
  <cp:lastPrinted>2010-12-07T21:35:00Z</cp:lastPrinted>
  <dcterms:created xsi:type="dcterms:W3CDTF">2020-01-14T18:11:00Z</dcterms:created>
  <dcterms:modified xsi:type="dcterms:W3CDTF">2026-08-19T13:48:00Z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